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00" w:rsidRDefault="009B1D00">
      <w:r>
        <w:rPr>
          <w:rFonts w:hint="eastAsia"/>
        </w:rPr>
        <w:t>附件</w:t>
      </w:r>
      <w:r>
        <w:rPr>
          <w:rFonts w:hint="eastAsia"/>
        </w:rPr>
        <w:t>2:</w:t>
      </w:r>
    </w:p>
    <w:tbl>
      <w:tblPr>
        <w:tblW w:w="147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0"/>
        <w:gridCol w:w="6123"/>
        <w:gridCol w:w="5764"/>
        <w:gridCol w:w="851"/>
        <w:gridCol w:w="992"/>
      </w:tblGrid>
      <w:tr w:rsidR="009B1D00" w:rsidRPr="009B5631" w:rsidTr="0065220E">
        <w:trPr>
          <w:trHeight w:val="435"/>
        </w:trPr>
        <w:tc>
          <w:tcPr>
            <w:tcW w:w="14710" w:type="dxa"/>
            <w:gridSpan w:val="5"/>
            <w:tcBorders>
              <w:top w:val="nil"/>
              <w:left w:val="nil"/>
              <w:bottom w:val="single" w:sz="4" w:space="0" w:color="auto"/>
              <w:right w:val="nil"/>
            </w:tcBorders>
            <w:vAlign w:val="center"/>
          </w:tcPr>
          <w:p w:rsidR="009B1D00" w:rsidRPr="00632C25" w:rsidRDefault="009B1D00" w:rsidP="0065220E">
            <w:pPr>
              <w:spacing w:line="560" w:lineRule="exact"/>
              <w:ind w:firstLineChars="500" w:firstLine="1800"/>
              <w:rPr>
                <w:rFonts w:ascii="仿宋_GB2312" w:eastAsia="仿宋_GB2312" w:hAnsi="仿宋"/>
                <w:sz w:val="32"/>
                <w:szCs w:val="32"/>
              </w:rPr>
            </w:pPr>
            <w:r w:rsidRPr="009B5631">
              <w:rPr>
                <w:rFonts w:ascii="方正小标宋简体" w:eastAsia="方正小标宋简体" w:hAnsi="Times New Roman" w:cs="Times New Roman" w:hint="eastAsia"/>
                <w:color w:val="000000" w:themeColor="text1"/>
                <w:kern w:val="0"/>
                <w:sz w:val="36"/>
                <w:szCs w:val="36"/>
              </w:rPr>
              <w:t>2018年北京市“安康杯”竞赛活动考核指标体系</w:t>
            </w:r>
          </w:p>
        </w:tc>
      </w:tr>
      <w:tr w:rsidR="009B1D00" w:rsidRPr="009B5631" w:rsidTr="0065220E">
        <w:trPr>
          <w:trHeight w:val="465"/>
        </w:trPr>
        <w:tc>
          <w:tcPr>
            <w:tcW w:w="980" w:type="dxa"/>
            <w:tcBorders>
              <w:top w:val="single" w:sz="4" w:space="0" w:color="auto"/>
              <w:right w:val="nil"/>
            </w:tcBorders>
            <w:vAlign w:val="center"/>
          </w:tcPr>
          <w:p w:rsidR="009B1D00" w:rsidRPr="009B5631" w:rsidRDefault="009B1D00" w:rsidP="0065220E">
            <w:pPr>
              <w:widowControl/>
              <w:jc w:val="center"/>
              <w:rPr>
                <w:rFonts w:ascii="黑体" w:eastAsia="黑体" w:hAnsi="黑体" w:cs="宋体"/>
                <w:color w:val="000000" w:themeColor="text1"/>
                <w:kern w:val="0"/>
                <w:sz w:val="18"/>
                <w:szCs w:val="18"/>
              </w:rPr>
            </w:pPr>
            <w:r w:rsidRPr="009B5631">
              <w:rPr>
                <w:rFonts w:ascii="黑体" w:eastAsia="黑体" w:hAnsi="黑体" w:cs="宋体" w:hint="eastAsia"/>
                <w:color w:val="000000" w:themeColor="text1"/>
                <w:kern w:val="0"/>
                <w:sz w:val="18"/>
                <w:szCs w:val="18"/>
              </w:rPr>
              <w:t>考核项目</w:t>
            </w:r>
          </w:p>
        </w:tc>
        <w:tc>
          <w:tcPr>
            <w:tcW w:w="6123" w:type="dxa"/>
            <w:tcBorders>
              <w:top w:val="single" w:sz="4" w:space="0" w:color="auto"/>
              <w:left w:val="nil"/>
              <w:right w:val="nil"/>
            </w:tcBorders>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考核内容</w:t>
            </w:r>
          </w:p>
        </w:tc>
        <w:tc>
          <w:tcPr>
            <w:tcW w:w="5764" w:type="dxa"/>
            <w:tcBorders>
              <w:top w:val="single" w:sz="4" w:space="0" w:color="auto"/>
              <w:left w:val="nil"/>
              <w:right w:val="nil"/>
            </w:tcBorders>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测评标准</w:t>
            </w:r>
          </w:p>
        </w:tc>
        <w:tc>
          <w:tcPr>
            <w:tcW w:w="851" w:type="dxa"/>
            <w:tcBorders>
              <w:top w:val="single" w:sz="4" w:space="0" w:color="auto"/>
              <w:left w:val="nil"/>
              <w:right w:val="nil"/>
            </w:tcBorders>
            <w:vAlign w:val="center"/>
          </w:tcPr>
          <w:p w:rsidR="009B1D00" w:rsidRPr="009B5631" w:rsidRDefault="009B1D00" w:rsidP="0065220E">
            <w:pPr>
              <w:widowControl/>
              <w:jc w:val="center"/>
              <w:rPr>
                <w:rFonts w:ascii="黑体" w:eastAsia="黑体" w:hAnsi="黑体" w:cs="宋体"/>
                <w:color w:val="000000" w:themeColor="text1"/>
                <w:kern w:val="0"/>
                <w:sz w:val="18"/>
                <w:szCs w:val="18"/>
              </w:rPr>
            </w:pPr>
            <w:r w:rsidRPr="009B5631">
              <w:rPr>
                <w:rFonts w:ascii="黑体" w:eastAsia="黑体" w:hAnsi="黑体" w:cs="宋体" w:hint="eastAsia"/>
                <w:color w:val="000000" w:themeColor="text1"/>
                <w:kern w:val="0"/>
                <w:sz w:val="18"/>
                <w:szCs w:val="18"/>
              </w:rPr>
              <w:t>扣分</w:t>
            </w:r>
          </w:p>
        </w:tc>
        <w:tc>
          <w:tcPr>
            <w:tcW w:w="992" w:type="dxa"/>
            <w:tcBorders>
              <w:top w:val="single" w:sz="4" w:space="0" w:color="auto"/>
              <w:left w:val="nil"/>
            </w:tcBorders>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评定得分</w:t>
            </w:r>
          </w:p>
        </w:tc>
      </w:tr>
      <w:tr w:rsidR="009B1D00" w:rsidRPr="009B5631" w:rsidTr="0065220E">
        <w:trPr>
          <w:trHeight w:val="1687"/>
        </w:trPr>
        <w:tc>
          <w:tcPr>
            <w:tcW w:w="980"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基本条件</w:t>
            </w:r>
          </w:p>
        </w:tc>
        <w:tc>
          <w:tcPr>
            <w:tcW w:w="6123"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1.</w:t>
            </w:r>
            <w:r w:rsidRPr="009B5631">
              <w:rPr>
                <w:rFonts w:ascii="仿宋_GB2312" w:eastAsia="仿宋_GB2312" w:hAnsi="Times New Roman" w:cs="Times New Roman" w:hint="eastAsia"/>
                <w:color w:val="000000" w:themeColor="text1"/>
                <w:kern w:val="0"/>
                <w:sz w:val="18"/>
                <w:szCs w:val="18"/>
              </w:rPr>
              <w:t>有竞赛组织机构；</w:t>
            </w:r>
            <w:r w:rsidRPr="009B5631">
              <w:rPr>
                <w:rFonts w:ascii="仿宋_GB2312" w:eastAsia="仿宋_GB2312" w:hAnsi="Times New Roman" w:cs="Times New Roman" w:hint="eastAsia"/>
                <w:color w:val="000000" w:themeColor="text1"/>
                <w:kern w:val="0"/>
                <w:sz w:val="18"/>
                <w:szCs w:val="18"/>
              </w:rPr>
              <w:br/>
            </w:r>
            <w:r w:rsidRPr="009B5631">
              <w:rPr>
                <w:rFonts w:ascii="Times New Roman" w:eastAsia="等线" w:hAnsi="Times New Roman" w:cs="Times New Roman"/>
                <w:color w:val="000000" w:themeColor="text1"/>
                <w:kern w:val="0"/>
                <w:sz w:val="18"/>
                <w:szCs w:val="18"/>
              </w:rPr>
              <w:t>2.</w:t>
            </w:r>
            <w:r w:rsidRPr="009B5631">
              <w:rPr>
                <w:rFonts w:ascii="仿宋_GB2312" w:eastAsia="仿宋_GB2312" w:hAnsi="Times New Roman" w:cs="Times New Roman" w:hint="eastAsia"/>
                <w:color w:val="000000" w:themeColor="text1"/>
                <w:kern w:val="0"/>
                <w:sz w:val="18"/>
                <w:szCs w:val="18"/>
              </w:rPr>
              <w:t>有竞赛活动实施方案及配套流程</w:t>
            </w:r>
            <w:r w:rsidRPr="009B5631">
              <w:rPr>
                <w:rFonts w:ascii="Times New Roman" w:eastAsia="等线" w:hAnsi="Times New Roman" w:cs="Times New Roman"/>
                <w:color w:val="000000" w:themeColor="text1"/>
                <w:kern w:val="0"/>
                <w:sz w:val="18"/>
                <w:szCs w:val="18"/>
              </w:rPr>
              <w:t>;</w:t>
            </w:r>
            <w:r w:rsidRPr="009B5631">
              <w:rPr>
                <w:rFonts w:ascii="Times New Roman" w:eastAsia="等线" w:hAnsi="Times New Roman" w:cs="Times New Roman"/>
                <w:color w:val="000000" w:themeColor="text1"/>
                <w:kern w:val="0"/>
                <w:sz w:val="18"/>
                <w:szCs w:val="18"/>
              </w:rPr>
              <w:br/>
              <w:t>3.</w:t>
            </w:r>
            <w:r w:rsidRPr="009B5631">
              <w:rPr>
                <w:rFonts w:ascii="仿宋_GB2312" w:eastAsia="仿宋_GB2312" w:hAnsi="Times New Roman" w:cs="Times New Roman" w:hint="eastAsia"/>
                <w:color w:val="000000" w:themeColor="text1"/>
                <w:kern w:val="0"/>
                <w:sz w:val="18"/>
                <w:szCs w:val="18"/>
              </w:rPr>
              <w:t>年度内未发生重伤以上安全事故</w:t>
            </w:r>
            <w:r w:rsidRPr="009B5631">
              <w:rPr>
                <w:rFonts w:ascii="Times New Roman" w:eastAsia="等线" w:hAnsi="Times New Roman" w:cs="Times New Roman"/>
                <w:color w:val="000000" w:themeColor="text1"/>
                <w:kern w:val="0"/>
                <w:sz w:val="18"/>
                <w:szCs w:val="18"/>
              </w:rPr>
              <w:t>;</w:t>
            </w:r>
            <w:r w:rsidRPr="009B5631">
              <w:rPr>
                <w:rFonts w:ascii="Times New Roman" w:eastAsia="等线" w:hAnsi="Times New Roman" w:cs="Times New Roman"/>
                <w:color w:val="000000" w:themeColor="text1"/>
                <w:kern w:val="0"/>
                <w:sz w:val="18"/>
                <w:szCs w:val="18"/>
              </w:rPr>
              <w:br/>
              <w:t>4.</w:t>
            </w:r>
            <w:r w:rsidRPr="009B5631">
              <w:rPr>
                <w:rFonts w:ascii="仿宋_GB2312" w:eastAsia="仿宋_GB2312" w:hAnsi="Times New Roman" w:cs="Times New Roman" w:hint="eastAsia"/>
                <w:color w:val="000000" w:themeColor="text1"/>
                <w:kern w:val="0"/>
                <w:sz w:val="18"/>
                <w:szCs w:val="18"/>
              </w:rPr>
              <w:t>自评达</w:t>
            </w:r>
            <w:r w:rsidRPr="009B5631">
              <w:rPr>
                <w:rFonts w:ascii="Times New Roman" w:eastAsia="等线" w:hAnsi="Times New Roman" w:cs="Times New Roman"/>
                <w:color w:val="000000" w:themeColor="text1"/>
                <w:kern w:val="0"/>
                <w:sz w:val="18"/>
                <w:szCs w:val="18"/>
              </w:rPr>
              <w:t>80</w:t>
            </w:r>
            <w:r w:rsidRPr="009B5631">
              <w:rPr>
                <w:rFonts w:ascii="仿宋_GB2312" w:eastAsia="仿宋_GB2312" w:hAnsi="Times New Roman" w:cs="Times New Roman" w:hint="eastAsia"/>
                <w:color w:val="000000" w:themeColor="text1"/>
                <w:kern w:val="0"/>
                <w:sz w:val="18"/>
                <w:szCs w:val="18"/>
              </w:rPr>
              <w:t>分以上。</w:t>
            </w:r>
          </w:p>
        </w:tc>
        <w:tc>
          <w:tcPr>
            <w:tcW w:w="5764"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仿宋_GB2312" w:eastAsia="仿宋_GB2312" w:hAnsi="Times New Roman" w:cs="Times New Roman" w:hint="eastAsia"/>
                <w:color w:val="000000" w:themeColor="text1"/>
                <w:kern w:val="0"/>
                <w:sz w:val="18"/>
                <w:szCs w:val="18"/>
              </w:rPr>
              <w:t>符合此基本条件，方可参加市级及以上先进评选。</w:t>
            </w:r>
          </w:p>
        </w:tc>
        <w:tc>
          <w:tcPr>
            <w:tcW w:w="851"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946"/>
        </w:trPr>
        <w:tc>
          <w:tcPr>
            <w:tcW w:w="14710" w:type="dxa"/>
            <w:gridSpan w:val="5"/>
            <w:vAlign w:val="center"/>
          </w:tcPr>
          <w:p w:rsidR="009B1D00" w:rsidRPr="009B5631" w:rsidRDefault="009B1D00" w:rsidP="0065220E">
            <w:pPr>
              <w:widowControl/>
              <w:jc w:val="left"/>
              <w:rPr>
                <w:rFonts w:ascii="仿宋_GB2312" w:eastAsia="仿宋_GB2312" w:hAnsi="Times New Roman" w:cs="Times New Roman"/>
                <w:color w:val="000000" w:themeColor="text1"/>
                <w:kern w:val="0"/>
                <w:sz w:val="18"/>
                <w:szCs w:val="18"/>
              </w:rPr>
            </w:pPr>
            <w:r w:rsidRPr="009B5631">
              <w:rPr>
                <w:rFonts w:ascii="仿宋_GB2312" w:eastAsia="仿宋_GB2312" w:hAnsi="Times New Roman" w:cs="Times New Roman" w:hint="eastAsia"/>
                <w:color w:val="000000" w:themeColor="text1"/>
                <w:kern w:val="0"/>
                <w:sz w:val="18"/>
                <w:szCs w:val="18"/>
              </w:rPr>
              <w:t>总分100分，其中组织领导10分，</w:t>
            </w:r>
            <w:r w:rsidRPr="00632C25">
              <w:rPr>
                <w:rFonts w:ascii="仿宋_GB2312" w:eastAsia="仿宋_GB2312" w:hAnsi="Times New Roman" w:cs="Times New Roman" w:hint="eastAsia"/>
                <w:color w:val="000000" w:themeColor="text1"/>
                <w:kern w:val="0"/>
                <w:sz w:val="18"/>
                <w:szCs w:val="18"/>
              </w:rPr>
              <w:t>劳动保护和</w:t>
            </w:r>
            <w:r w:rsidRPr="009B5631">
              <w:rPr>
                <w:rFonts w:ascii="仿宋_GB2312" w:eastAsia="仿宋_GB2312" w:hAnsi="Times New Roman" w:cs="Times New Roman" w:hint="eastAsia"/>
                <w:color w:val="000000" w:themeColor="text1"/>
                <w:kern w:val="0"/>
                <w:sz w:val="18"/>
                <w:szCs w:val="18"/>
              </w:rPr>
              <w:t>安全管理40分，班组安全建设20分，组织开展安全生产法规培训及安全文化建设15分，群众监督参与15分，另有鼓励项4分。</w:t>
            </w:r>
          </w:p>
        </w:tc>
      </w:tr>
      <w:tr w:rsidR="009B1D00" w:rsidRPr="009B5631" w:rsidTr="0065220E">
        <w:trPr>
          <w:trHeight w:val="566"/>
        </w:trPr>
        <w:tc>
          <w:tcPr>
            <w:tcW w:w="980" w:type="dxa"/>
            <w:vMerge w:val="restart"/>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组织领导（10分）</w:t>
            </w:r>
          </w:p>
        </w:tc>
        <w:tc>
          <w:tcPr>
            <w:tcW w:w="6123" w:type="dxa"/>
            <w:vMerge w:val="restart"/>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1.主要领导任“安康杯”竞赛组委会（领导小组）主任，竞赛组织机构健全。（3分）</w:t>
            </w:r>
          </w:p>
        </w:tc>
        <w:tc>
          <w:tcPr>
            <w:tcW w:w="5764" w:type="dxa"/>
            <w:vAlign w:val="center"/>
          </w:tcPr>
          <w:p w:rsidR="009B1D00" w:rsidRPr="009B5631" w:rsidRDefault="009B1D00" w:rsidP="0065220E">
            <w:pPr>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非主要领导任“安康杯”竞赛组委会（领导小组）主任，扣1分。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66"/>
        </w:trPr>
        <w:tc>
          <w:tcPr>
            <w:tcW w:w="980" w:type="dxa"/>
            <w:vMerge/>
            <w:vAlign w:val="center"/>
          </w:tcPr>
          <w:p w:rsidR="009B1D00" w:rsidRPr="009B5631" w:rsidRDefault="009B1D00" w:rsidP="0065220E">
            <w:pPr>
              <w:widowControl/>
              <w:jc w:val="center"/>
              <w:rPr>
                <w:rFonts w:ascii="黑体" w:eastAsia="黑体" w:hAnsi="黑体" w:cs="Times New Roman"/>
                <w:color w:val="000000" w:themeColor="text1"/>
                <w:kern w:val="0"/>
                <w:sz w:val="18"/>
                <w:szCs w:val="18"/>
              </w:rPr>
            </w:pPr>
          </w:p>
        </w:tc>
        <w:tc>
          <w:tcPr>
            <w:tcW w:w="6123" w:type="dxa"/>
            <w:vMerge/>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vAlign w:val="center"/>
          </w:tcPr>
          <w:p w:rsidR="009B1D00" w:rsidRPr="009B5631" w:rsidRDefault="009B1D00" w:rsidP="0065220E">
            <w:pPr>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工会主席不是“安康杯”竞赛组委会（领导小组）主要成员的，扣1分。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51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Merge/>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竞赛组织机构不健全，扣1分。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1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Merge w:val="restart"/>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2.竞赛活动有方案、部署、组织、投入、检查、评比、奖惩。（5分）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未组织开展竞赛活动的，一票否决。</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1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Merge/>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竞赛活动方案、部署、组织、投入、检查、评比、奖惩不完善，每缺一项扣1分，扣完5分止。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1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Merge w:val="restart"/>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3.所属企事业单位和职工参赛率较高，班组100%参赛。（2分）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所属单位或职工参赛率低于80%的，扣1分。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1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Merge/>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班组非100%参赛，扣1分。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1059"/>
        </w:trPr>
        <w:tc>
          <w:tcPr>
            <w:tcW w:w="980" w:type="dxa"/>
            <w:vMerge w:val="restart"/>
            <w:shd w:val="clear" w:color="auto" w:fill="auto"/>
            <w:vAlign w:val="center"/>
          </w:tcPr>
          <w:p w:rsidR="009B1D00" w:rsidRPr="009B5631" w:rsidRDefault="009B1D00" w:rsidP="0065220E">
            <w:pPr>
              <w:jc w:val="center"/>
              <w:rPr>
                <w:rFonts w:ascii="Times New Roman" w:eastAsia="等线" w:hAnsi="Times New Roman"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lastRenderedPageBreak/>
              <w:t>劳动保护和安全管理（40分</w:t>
            </w:r>
            <w:r w:rsidRPr="009B5631">
              <w:rPr>
                <w:rFonts w:ascii="宋体" w:eastAsia="宋体" w:hAnsi="宋体" w:cs="Times New Roman" w:hint="eastAsia"/>
                <w:color w:val="000000" w:themeColor="text1"/>
                <w:kern w:val="0"/>
                <w:sz w:val="18"/>
                <w:szCs w:val="18"/>
              </w:rPr>
              <w:t>）</w:t>
            </w:r>
          </w:p>
        </w:tc>
        <w:tc>
          <w:tcPr>
            <w:tcW w:w="6123"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1.安全工作有计划、有检查、有整改、有考核、有奖惩。（5分）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安全工作计划、检查、整改、考核、奖惩，每缺少一项扣1分。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p w:rsidR="009B1D00" w:rsidRPr="009B5631" w:rsidRDefault="009B1D00" w:rsidP="0065220E">
            <w:pPr>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p w:rsidR="009B1D00" w:rsidRPr="009B5631" w:rsidRDefault="009B1D00" w:rsidP="0065220E">
            <w:pPr>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1110"/>
        </w:trPr>
        <w:tc>
          <w:tcPr>
            <w:tcW w:w="980" w:type="dxa"/>
            <w:vMerge/>
            <w:shd w:val="clear" w:color="auto" w:fill="auto"/>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2.安全管理机构健全，有专、兼职安全人员。（2分）</w:t>
            </w:r>
          </w:p>
        </w:tc>
        <w:tc>
          <w:tcPr>
            <w:tcW w:w="5764" w:type="dxa"/>
            <w:shd w:val="clear" w:color="000000" w:fill="FFFFFF"/>
            <w:vAlign w:val="center"/>
          </w:tcPr>
          <w:p w:rsidR="009B1D00" w:rsidRPr="009B5631" w:rsidRDefault="009B1D00" w:rsidP="0065220E">
            <w:pPr>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从业人员超过100人的单位，未设置安全生产管理机构或配备专职安全生产管理人员，其他生产经营单位，未配备专职或者兼职安全生产管理人员，或委托有相关专业技术资格的工程技术人员，提供安全生产管理服务，扣2分。</w:t>
            </w:r>
          </w:p>
        </w:tc>
        <w:tc>
          <w:tcPr>
            <w:tcW w:w="851" w:type="dxa"/>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r>
      <w:tr w:rsidR="009B1D00" w:rsidRPr="009B5631" w:rsidTr="0065220E">
        <w:trPr>
          <w:trHeight w:val="1275"/>
        </w:trPr>
        <w:tc>
          <w:tcPr>
            <w:tcW w:w="980" w:type="dxa"/>
            <w:vMerge/>
            <w:shd w:val="clear" w:color="auto" w:fill="auto"/>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3.健全劳动保护与安全生产管理制度，包括安全教育培训、生产安全事故隐患排查治理、劳动防护用品管理、危险作业管理、特种设备和特种作业人员管理、生产安全应急管理等各项安全规章制度。（5分）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未建立安全生产管理制度不得分，每缺一项制度扣1分，扣完5分止。</w:t>
            </w:r>
          </w:p>
        </w:tc>
        <w:tc>
          <w:tcPr>
            <w:tcW w:w="851"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825"/>
        </w:trPr>
        <w:tc>
          <w:tcPr>
            <w:tcW w:w="980" w:type="dxa"/>
            <w:vMerge/>
            <w:shd w:val="clear" w:color="auto" w:fill="auto"/>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4.应建立完善的安全档案记录，包括安全教育培训、生产安全事故隐患台账、特种设备和特种作业人员台账、劳动防护用品发放、危险作业审批、危险化学品领用、安全生产费用等档案记录。（5分）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无安全生产档案、记录不得分，每缺一项记录扣1分，扣完5分止。</w:t>
            </w:r>
          </w:p>
        </w:tc>
        <w:tc>
          <w:tcPr>
            <w:tcW w:w="851"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shd w:val="clear" w:color="auto" w:fill="auto"/>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Merge w:val="restart"/>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5.制定岗位安全操作规程，并发放（或张贴）到相关岗位；存在职业危害的，制定岗位职业健康操作规程；有危险作业的应当执行危险作业审批管理。（3分）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安全操作规程未送达（或张贴）岗位，每缺一个岗位或一台设备，扣0.2分，扣完1分止。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shd w:val="clear" w:color="auto" w:fill="auto"/>
            <w:vAlign w:val="center"/>
          </w:tcPr>
          <w:p w:rsidR="009B1D00" w:rsidRPr="009B5631" w:rsidRDefault="009B1D00" w:rsidP="0065220E">
            <w:pPr>
              <w:jc w:val="center"/>
              <w:rPr>
                <w:rFonts w:ascii="Times New Roman" w:eastAsia="等线" w:hAnsi="Times New Roman" w:cs="Times New Roman"/>
                <w:color w:val="000000" w:themeColor="text1"/>
                <w:kern w:val="0"/>
                <w:sz w:val="18"/>
                <w:szCs w:val="18"/>
              </w:rPr>
            </w:pPr>
          </w:p>
        </w:tc>
        <w:tc>
          <w:tcPr>
            <w:tcW w:w="6123" w:type="dxa"/>
            <w:vMerge/>
            <w:shd w:val="clear" w:color="auto" w:fill="auto"/>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存在职业危害岗位未制定职业健康操作规程，扣1分。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shd w:val="clear" w:color="auto" w:fill="auto"/>
            <w:vAlign w:val="center"/>
          </w:tcPr>
          <w:p w:rsidR="009B1D00" w:rsidRPr="009B5631" w:rsidRDefault="009B1D00" w:rsidP="0065220E">
            <w:pPr>
              <w:jc w:val="center"/>
              <w:rPr>
                <w:rFonts w:ascii="Times New Roman" w:eastAsia="等线" w:hAnsi="Times New Roman" w:cs="Times New Roman"/>
                <w:color w:val="000000" w:themeColor="text1"/>
                <w:kern w:val="0"/>
                <w:sz w:val="18"/>
                <w:szCs w:val="18"/>
              </w:rPr>
            </w:pPr>
          </w:p>
        </w:tc>
        <w:tc>
          <w:tcPr>
            <w:tcW w:w="6123" w:type="dxa"/>
            <w:vMerge/>
            <w:shd w:val="clear" w:color="auto" w:fill="auto"/>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一次危险作业未执行审批管理，扣1分。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shd w:val="clear" w:color="auto" w:fill="auto"/>
            <w:vAlign w:val="center"/>
          </w:tcPr>
          <w:p w:rsidR="009B1D00" w:rsidRPr="009B5631" w:rsidRDefault="009B1D00" w:rsidP="0065220E">
            <w:pPr>
              <w:jc w:val="center"/>
              <w:rPr>
                <w:rFonts w:ascii="Times New Roman" w:eastAsia="等线" w:hAnsi="Times New Roman" w:cs="Times New Roman"/>
                <w:color w:val="000000" w:themeColor="text1"/>
                <w:kern w:val="0"/>
                <w:sz w:val="18"/>
                <w:szCs w:val="18"/>
              </w:rPr>
            </w:pPr>
          </w:p>
        </w:tc>
        <w:tc>
          <w:tcPr>
            <w:tcW w:w="6123" w:type="dxa"/>
            <w:vMerge w:val="restart"/>
            <w:shd w:val="clear" w:color="000000" w:fill="FFFFFF"/>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6.健全应急管理，每年进行一次综合预案或专项预案的演练，每半年至少组织一次现场处置方案演练。每次演练结束要进行效果评估。（3分）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未编制应急预案，扣1分。</w:t>
            </w:r>
          </w:p>
        </w:tc>
        <w:tc>
          <w:tcPr>
            <w:tcW w:w="851"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shd w:val="clear" w:color="auto" w:fill="auto"/>
            <w:vAlign w:val="center"/>
          </w:tcPr>
          <w:p w:rsidR="009B1D00" w:rsidRPr="009B5631" w:rsidRDefault="009B1D00" w:rsidP="0065220E">
            <w:pPr>
              <w:jc w:val="center"/>
              <w:rPr>
                <w:rFonts w:ascii="Times New Roman" w:eastAsia="等线" w:hAnsi="Times New Roman" w:cs="Times New Roman"/>
                <w:color w:val="000000" w:themeColor="text1"/>
                <w:kern w:val="0"/>
                <w:sz w:val="18"/>
                <w:szCs w:val="18"/>
              </w:rPr>
            </w:pPr>
          </w:p>
        </w:tc>
        <w:tc>
          <w:tcPr>
            <w:tcW w:w="6123" w:type="dxa"/>
            <w:vMerge/>
            <w:shd w:val="clear" w:color="auto" w:fill="auto"/>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未进行应急演练，扣1分。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shd w:val="clear" w:color="auto" w:fill="auto"/>
            <w:vAlign w:val="center"/>
          </w:tcPr>
          <w:p w:rsidR="009B1D00" w:rsidRPr="009B5631" w:rsidRDefault="009B1D00" w:rsidP="0065220E">
            <w:pPr>
              <w:jc w:val="center"/>
              <w:rPr>
                <w:rFonts w:ascii="Times New Roman" w:eastAsia="等线" w:hAnsi="Times New Roman" w:cs="Times New Roman"/>
                <w:color w:val="000000" w:themeColor="text1"/>
                <w:kern w:val="0"/>
                <w:sz w:val="18"/>
                <w:szCs w:val="18"/>
              </w:rPr>
            </w:pPr>
          </w:p>
        </w:tc>
        <w:tc>
          <w:tcPr>
            <w:tcW w:w="6123" w:type="dxa"/>
            <w:vMerge/>
            <w:shd w:val="clear" w:color="auto" w:fill="auto"/>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未对演练效果进行评估，扣1分</w:t>
            </w:r>
          </w:p>
        </w:tc>
        <w:tc>
          <w:tcPr>
            <w:tcW w:w="851"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shd w:val="clear" w:color="auto" w:fill="auto"/>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7.作业环境符合国家规定，作业场所中尘、毒控制在国家准许范围内，努力改善作业环境。（4分）</w:t>
            </w:r>
          </w:p>
          <w:p w:rsidR="009B1D00" w:rsidRPr="009B5631" w:rsidRDefault="009B1D00" w:rsidP="0065220E">
            <w:pPr>
              <w:widowControl/>
              <w:jc w:val="left"/>
              <w:rPr>
                <w:rFonts w:ascii="仿宋_GB2312" w:eastAsia="仿宋_GB2312" w:hAnsi="等线" w:cs="宋体"/>
                <w:color w:val="000000" w:themeColor="text1"/>
                <w:kern w:val="0"/>
                <w:sz w:val="18"/>
                <w:szCs w:val="18"/>
              </w:rPr>
            </w:pP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厂区作业环境，车间作业环境，仓储作业通道、物品码放等有不符合规定的，每处扣1分，扣完4分止。</w:t>
            </w:r>
          </w:p>
        </w:tc>
        <w:tc>
          <w:tcPr>
            <w:tcW w:w="851"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750"/>
        </w:trPr>
        <w:tc>
          <w:tcPr>
            <w:tcW w:w="980" w:type="dxa"/>
            <w:vMerge/>
            <w:shd w:val="clear" w:color="auto" w:fill="auto"/>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8.应把劳动安全卫生、女职工和未成年的特殊保护、工作时间、休息休假及开展“安康杯”竞赛等条款列入《集体合同》或单独签订《劳动保护与职业健康专项集体合同》。（2分）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strike/>
                <w:color w:val="000000" w:themeColor="text1"/>
                <w:kern w:val="0"/>
                <w:sz w:val="18"/>
                <w:szCs w:val="18"/>
              </w:rPr>
            </w:pPr>
            <w:r w:rsidRPr="009B5631">
              <w:rPr>
                <w:rFonts w:ascii="仿宋_GB2312" w:eastAsia="仿宋_GB2312" w:hAnsi="等线" w:cs="宋体" w:hint="eastAsia"/>
                <w:color w:val="000000" w:themeColor="text1"/>
                <w:kern w:val="0"/>
                <w:sz w:val="18"/>
                <w:szCs w:val="18"/>
              </w:rPr>
              <w:t>每有一项未列入《集体合同》的扣0.4分，扣完2分止。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750"/>
        </w:trPr>
        <w:tc>
          <w:tcPr>
            <w:tcW w:w="980" w:type="dxa"/>
            <w:shd w:val="clear" w:color="auto" w:fill="auto"/>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9.认真贯彻工会劳动保护监督检查“三个条例”，健全三级工会劳动保护监督检查网络，加强工会劳动保护监督检查员考核及管理（5分）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无相关佐证材料的酌情扣分，扣完5分止。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750"/>
        </w:trPr>
        <w:tc>
          <w:tcPr>
            <w:tcW w:w="980" w:type="dxa"/>
            <w:shd w:val="clear" w:color="auto" w:fill="auto"/>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10.重视职业病防治工作，开展“职业病防治法宣传周”活动，进行职业健康检查（3分）</w:t>
            </w:r>
          </w:p>
        </w:tc>
        <w:tc>
          <w:tcPr>
            <w:tcW w:w="5764" w:type="dxa"/>
            <w:shd w:val="clear" w:color="000000" w:fill="FFFFFF"/>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未进行职业健康检查扣2分，未组织宣传活动扣1分。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750"/>
        </w:trPr>
        <w:tc>
          <w:tcPr>
            <w:tcW w:w="980" w:type="dxa"/>
            <w:shd w:val="clear" w:color="auto" w:fill="auto"/>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shd w:val="clear" w:color="000000" w:fill="FFFFFF"/>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11.重视女工劳动保护，认真做好女职工“四期”保护。（3分）</w:t>
            </w:r>
          </w:p>
        </w:tc>
        <w:tc>
          <w:tcPr>
            <w:tcW w:w="5764" w:type="dxa"/>
            <w:shd w:val="clear" w:color="000000" w:fill="FFFFFF"/>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无相关佐证材料的酌情扣分，扣完3分止。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869"/>
        </w:trPr>
        <w:tc>
          <w:tcPr>
            <w:tcW w:w="980" w:type="dxa"/>
            <w:vMerge w:val="restart"/>
            <w:vAlign w:val="center"/>
          </w:tcPr>
          <w:p w:rsidR="009B1D00" w:rsidRPr="009B5631" w:rsidRDefault="009B1D00" w:rsidP="0065220E">
            <w:pPr>
              <w:jc w:val="center"/>
              <w:rPr>
                <w:rFonts w:ascii="黑体" w:eastAsia="黑体" w:hAnsi="黑体"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班组安全建设（20分）</w:t>
            </w: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1.班组长担任工会小组长。（3分）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color w:val="000000" w:themeColor="text1"/>
                <w:kern w:val="0"/>
                <w:sz w:val="18"/>
                <w:szCs w:val="18"/>
              </w:rPr>
              <w:t>班组长未担任工会小组长的扣</w:t>
            </w:r>
            <w:r w:rsidRPr="009B5631">
              <w:rPr>
                <w:rFonts w:ascii="仿宋_GB2312" w:eastAsia="仿宋_GB2312" w:hAnsi="等线" w:cs="宋体" w:hint="eastAsia"/>
                <w:color w:val="000000" w:themeColor="text1"/>
                <w:kern w:val="0"/>
                <w:sz w:val="18"/>
                <w:szCs w:val="18"/>
              </w:rPr>
              <w:t>3分。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869"/>
        </w:trPr>
        <w:tc>
          <w:tcPr>
            <w:tcW w:w="980" w:type="dxa"/>
            <w:vMerge/>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2.重视班组安全建设，积极上报安全生产合理化建议。（4分）</w:t>
            </w:r>
          </w:p>
        </w:tc>
        <w:tc>
          <w:tcPr>
            <w:tcW w:w="5764" w:type="dxa"/>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无相关佐证材料的酌情扣分，扣完4分止。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869"/>
        </w:trPr>
        <w:tc>
          <w:tcPr>
            <w:tcW w:w="980" w:type="dxa"/>
            <w:vMerge/>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3.通过“班前、班后会”、“师带徒”等形式，广泛开展班组安全宣传教育活动。（4分）</w:t>
            </w:r>
          </w:p>
        </w:tc>
        <w:tc>
          <w:tcPr>
            <w:tcW w:w="5764" w:type="dxa"/>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无相关佐证材料的酌情扣分，扣完4分止。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869"/>
        </w:trPr>
        <w:tc>
          <w:tcPr>
            <w:tcW w:w="980" w:type="dxa"/>
            <w:vMerge/>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4.班组安全事故隐患整改率较高。（4分）</w:t>
            </w:r>
          </w:p>
        </w:tc>
        <w:tc>
          <w:tcPr>
            <w:tcW w:w="5764" w:type="dxa"/>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安全事故隐患整改率低于80%的扣4分。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869"/>
        </w:trPr>
        <w:tc>
          <w:tcPr>
            <w:tcW w:w="980" w:type="dxa"/>
            <w:vMerge/>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5.建立班组安全生产隐患排查清单。（2分）</w:t>
            </w:r>
          </w:p>
        </w:tc>
        <w:tc>
          <w:tcPr>
            <w:tcW w:w="5764" w:type="dxa"/>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color w:val="000000" w:themeColor="text1"/>
                <w:kern w:val="0"/>
                <w:sz w:val="18"/>
                <w:szCs w:val="18"/>
              </w:rPr>
              <w:t>未建立</w:t>
            </w:r>
            <w:r w:rsidRPr="009B5631">
              <w:rPr>
                <w:rFonts w:ascii="仿宋_GB2312" w:eastAsia="仿宋_GB2312" w:hAnsi="等线" w:cs="宋体" w:hint="eastAsia"/>
                <w:color w:val="000000" w:themeColor="text1"/>
                <w:kern w:val="0"/>
                <w:sz w:val="18"/>
                <w:szCs w:val="18"/>
              </w:rPr>
              <w:t>隐患排查</w:t>
            </w:r>
            <w:r w:rsidRPr="009B5631">
              <w:rPr>
                <w:rFonts w:ascii="仿宋_GB2312" w:eastAsia="仿宋_GB2312" w:hAnsi="等线" w:cs="宋体"/>
                <w:color w:val="000000" w:themeColor="text1"/>
                <w:kern w:val="0"/>
                <w:sz w:val="18"/>
                <w:szCs w:val="18"/>
              </w:rPr>
              <w:t>清单的扣</w:t>
            </w:r>
            <w:r w:rsidRPr="009B5631">
              <w:rPr>
                <w:rFonts w:ascii="仿宋_GB2312" w:eastAsia="仿宋_GB2312" w:hAnsi="等线" w:cs="宋体" w:hint="eastAsia"/>
                <w:color w:val="000000" w:themeColor="text1"/>
                <w:kern w:val="0"/>
                <w:sz w:val="18"/>
                <w:szCs w:val="18"/>
              </w:rPr>
              <w:t>2分。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638"/>
        </w:trPr>
        <w:tc>
          <w:tcPr>
            <w:tcW w:w="980" w:type="dxa"/>
            <w:vMerge/>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6.组织开展班组安全技能培训、安全管理优秀成果展示等班组安全文化活动（3分）</w:t>
            </w:r>
          </w:p>
        </w:tc>
        <w:tc>
          <w:tcPr>
            <w:tcW w:w="5764" w:type="dxa"/>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无相关佐证材料的酌情扣分，扣完3分止。</w:t>
            </w:r>
          </w:p>
        </w:tc>
        <w:tc>
          <w:tcPr>
            <w:tcW w:w="851" w:type="dxa"/>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r>
      <w:tr w:rsidR="009B1D00" w:rsidRPr="009B5631" w:rsidTr="0065220E">
        <w:trPr>
          <w:trHeight w:val="570"/>
        </w:trPr>
        <w:tc>
          <w:tcPr>
            <w:tcW w:w="980" w:type="dxa"/>
            <w:vMerge w:val="restart"/>
            <w:vAlign w:val="center"/>
          </w:tcPr>
          <w:p w:rsidR="009B1D00" w:rsidRPr="009B5631" w:rsidRDefault="009B1D00" w:rsidP="0065220E">
            <w:pPr>
              <w:jc w:val="center"/>
              <w:rPr>
                <w:rFonts w:ascii="黑体" w:eastAsia="黑体" w:hAnsi="黑体"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组织开展安全生产法规培训及安全文化建设（15分）</w:t>
            </w: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1.深入宣传和贯彻落实《工会法》、《职业病防治法》、《北京市生产安全事故隐患排查治理办法》、《北京市生产经营单位安全生产主体责任规范》、《北京市企业安全生产标准化建设管理办法》等相关法律法规和政策（3分）</w:t>
            </w:r>
          </w:p>
        </w:tc>
        <w:tc>
          <w:tcPr>
            <w:tcW w:w="5764"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有计划、有记录、有展示，无相关佐证材料的酌情扣分，扣完3分止。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2.积极组织职工参加职业健康知识培训（1分）</w:t>
            </w:r>
          </w:p>
        </w:tc>
        <w:tc>
          <w:tcPr>
            <w:tcW w:w="5764"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无相关佐证材料的扣1分。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3.利用 “互联网+”开展多元化安全教育及安全文化建设，悬挂职业健康警示牌、提示卡等。（3分）</w:t>
            </w:r>
          </w:p>
        </w:tc>
        <w:tc>
          <w:tcPr>
            <w:tcW w:w="5764"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无相关佐证材料的酌情扣分，扣完3分止。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4.开展“安全生产月”活动。（5分）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有活动方案、有部署、有组织、有投入、有检查、有考核；活动内容新颖，切合安全生产月主题，活动实施有效。无相关佐证材料的可酌情扣分，扣完5分止。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570"/>
        </w:trPr>
        <w:tc>
          <w:tcPr>
            <w:tcW w:w="980" w:type="dxa"/>
            <w:vMerge/>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5. 创新开展1-2项 “安康杯”特色活动。（3分）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开展“安康杯”竞赛活动不少于1项，员工参与率要达到80%以上，各类活动有记录。无相关佐证材料的酌情扣分，扣完3分止。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806"/>
        </w:trPr>
        <w:tc>
          <w:tcPr>
            <w:tcW w:w="980" w:type="dxa"/>
            <w:vMerge w:val="restart"/>
            <w:vAlign w:val="center"/>
          </w:tcPr>
          <w:p w:rsidR="009B1D00" w:rsidRPr="009B5631" w:rsidRDefault="009B1D00" w:rsidP="0065220E">
            <w:pPr>
              <w:jc w:val="center"/>
              <w:rPr>
                <w:rFonts w:ascii="黑体" w:eastAsia="黑体" w:hAnsi="黑体"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群众监督参与（15分）</w:t>
            </w:r>
          </w:p>
          <w:p w:rsidR="009B1D00" w:rsidRPr="009B5631" w:rsidRDefault="009B1D00" w:rsidP="0065220E">
            <w:pPr>
              <w:jc w:val="center"/>
              <w:rPr>
                <w:rFonts w:ascii="Times New Roman" w:eastAsia="等线" w:hAnsi="Times New Roman" w:cs="Times New Roman"/>
                <w:color w:val="000000" w:themeColor="text1"/>
                <w:kern w:val="0"/>
                <w:sz w:val="18"/>
                <w:szCs w:val="18"/>
              </w:rPr>
            </w:pPr>
          </w:p>
          <w:p w:rsidR="009B1D00" w:rsidRPr="009B5631" w:rsidRDefault="009B1D00" w:rsidP="0065220E">
            <w:pPr>
              <w:jc w:val="left"/>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highlight w:val="yellow"/>
              </w:rPr>
            </w:pPr>
            <w:r w:rsidRPr="009B5631">
              <w:rPr>
                <w:rFonts w:ascii="仿宋_GB2312" w:eastAsia="仿宋_GB2312" w:hAnsi="等线" w:cs="宋体" w:hint="eastAsia"/>
                <w:color w:val="000000" w:themeColor="text1"/>
                <w:kern w:val="0"/>
                <w:sz w:val="18"/>
                <w:szCs w:val="18"/>
              </w:rPr>
              <w:t>1.建立企业重大安全事故隐患治理情况向属地安监部门和公司职代会“双报告”制度。（3分）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color w:val="000000" w:themeColor="text1"/>
                <w:kern w:val="0"/>
                <w:sz w:val="18"/>
                <w:szCs w:val="18"/>
              </w:rPr>
              <w:t>未建立</w:t>
            </w:r>
            <w:r w:rsidRPr="009B5631">
              <w:rPr>
                <w:rFonts w:ascii="仿宋_GB2312" w:eastAsia="仿宋_GB2312" w:hAnsi="等线" w:cs="宋体"/>
                <w:color w:val="000000" w:themeColor="text1"/>
                <w:kern w:val="0"/>
                <w:sz w:val="18"/>
                <w:szCs w:val="18"/>
              </w:rPr>
              <w:t>“</w:t>
            </w:r>
            <w:r w:rsidRPr="009B5631">
              <w:rPr>
                <w:rFonts w:ascii="仿宋_GB2312" w:eastAsia="仿宋_GB2312" w:hAnsi="等线" w:cs="宋体"/>
                <w:color w:val="000000" w:themeColor="text1"/>
                <w:kern w:val="0"/>
                <w:sz w:val="18"/>
                <w:szCs w:val="18"/>
              </w:rPr>
              <w:t>双报告</w:t>
            </w:r>
            <w:r w:rsidRPr="009B5631">
              <w:rPr>
                <w:rFonts w:ascii="仿宋_GB2312" w:eastAsia="仿宋_GB2312" w:hAnsi="等线" w:cs="宋体"/>
                <w:color w:val="000000" w:themeColor="text1"/>
                <w:kern w:val="0"/>
                <w:sz w:val="18"/>
                <w:szCs w:val="18"/>
              </w:rPr>
              <w:t>”</w:t>
            </w:r>
            <w:r w:rsidRPr="009B5631">
              <w:rPr>
                <w:rFonts w:ascii="仿宋_GB2312" w:eastAsia="仿宋_GB2312" w:hAnsi="等线" w:cs="宋体"/>
                <w:color w:val="000000" w:themeColor="text1"/>
                <w:kern w:val="0"/>
                <w:sz w:val="18"/>
                <w:szCs w:val="18"/>
              </w:rPr>
              <w:t>制度的扣</w:t>
            </w:r>
            <w:r w:rsidRPr="009B5631">
              <w:rPr>
                <w:rFonts w:ascii="仿宋_GB2312" w:eastAsia="仿宋_GB2312" w:hAnsi="等线" w:cs="宋体" w:hint="eastAsia"/>
                <w:color w:val="000000" w:themeColor="text1"/>
                <w:kern w:val="0"/>
                <w:sz w:val="18"/>
                <w:szCs w:val="18"/>
              </w:rPr>
              <w:t>3分。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806"/>
        </w:trPr>
        <w:tc>
          <w:tcPr>
            <w:tcW w:w="980" w:type="dxa"/>
            <w:vMerge/>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2.发动职工群众对企业执行安全生产法律法规情况进行民主监督，企业法定代表人每年至少要向职代会专题报告一次安全生产工作情况。（3分）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无监督机制的扣3分，监督机制不健全的酌情扣分，扣完3分止。</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541"/>
        </w:trPr>
        <w:tc>
          <w:tcPr>
            <w:tcW w:w="980" w:type="dxa"/>
            <w:vMerge/>
            <w:vAlign w:val="center"/>
          </w:tcPr>
          <w:p w:rsidR="009B1D00" w:rsidRPr="009B5631" w:rsidRDefault="009B1D00" w:rsidP="0065220E">
            <w:pPr>
              <w:jc w:val="center"/>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3.建立安全信息沟通机制；员工反映问题渠道畅通。（3分）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沟通机制不健全扣1分，渠道不畅通扣2分。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1076"/>
        </w:trPr>
        <w:tc>
          <w:tcPr>
            <w:tcW w:w="980" w:type="dxa"/>
            <w:vMerge/>
            <w:vAlign w:val="center"/>
          </w:tcPr>
          <w:p w:rsidR="009B1D00" w:rsidRPr="009B5631" w:rsidRDefault="009B1D00" w:rsidP="0065220E">
            <w:pPr>
              <w:jc w:val="center"/>
              <w:rPr>
                <w:rFonts w:ascii="黑体" w:eastAsia="黑体" w:hAnsi="黑体"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4.建立员工参与安全事务的机制；鼓励员工参与安全事故隐患自查、提交合理化建议。（3分）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没有机制扣1分，员工未参与安全事务扣2分。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933"/>
        </w:trPr>
        <w:tc>
          <w:tcPr>
            <w:tcW w:w="980" w:type="dxa"/>
            <w:vMerge/>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5.积极配合公安消防及交管部门做好职工的消防及交通安全教育和管理。企业职工没有发生过严重违章事故。（3分）</w:t>
            </w:r>
          </w:p>
        </w:tc>
        <w:tc>
          <w:tcPr>
            <w:tcW w:w="5764" w:type="dxa"/>
            <w:vAlign w:val="center"/>
          </w:tcPr>
          <w:p w:rsidR="009B1D00" w:rsidRPr="009B5631" w:rsidRDefault="009B1D00" w:rsidP="0065220E">
            <w:pPr>
              <w:widowControl/>
              <w:jc w:val="left"/>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发生一次违章扣1分，扣完3分止。</w:t>
            </w:r>
          </w:p>
        </w:tc>
        <w:tc>
          <w:tcPr>
            <w:tcW w:w="851" w:type="dxa"/>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p>
        </w:tc>
      </w:tr>
      <w:tr w:rsidR="009B1D00" w:rsidRPr="009B5631" w:rsidTr="0065220E">
        <w:trPr>
          <w:trHeight w:val="1183"/>
        </w:trPr>
        <w:tc>
          <w:tcPr>
            <w:tcW w:w="980" w:type="dxa"/>
            <w:vMerge w:val="restart"/>
            <w:shd w:val="clear" w:color="000000" w:fill="FFFFFF"/>
            <w:vAlign w:val="center"/>
          </w:tcPr>
          <w:p w:rsidR="009B1D00" w:rsidRPr="009B5631" w:rsidRDefault="009B1D00" w:rsidP="0065220E">
            <w:pPr>
              <w:widowControl/>
              <w:jc w:val="center"/>
              <w:rPr>
                <w:rFonts w:ascii="黑体" w:eastAsia="黑体" w:hAnsi="黑体"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鼓励项</w:t>
            </w:r>
            <w:r w:rsidRPr="009B5631">
              <w:rPr>
                <w:rFonts w:ascii="黑体" w:eastAsia="黑体" w:hAnsi="黑体" w:cs="Times New Roman" w:hint="eastAsia"/>
                <w:color w:val="000000" w:themeColor="text1"/>
                <w:kern w:val="0"/>
                <w:sz w:val="18"/>
                <w:szCs w:val="18"/>
              </w:rPr>
              <w:br/>
              <w:t>（4分）</w:t>
            </w: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1.实行安全生产责任保险。</w:t>
            </w:r>
          </w:p>
        </w:tc>
        <w:tc>
          <w:tcPr>
            <w:tcW w:w="5764"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实行安责险的加2分。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Merge/>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2.实施安全生产标准化取得二级以上达标的。</w:t>
            </w:r>
          </w:p>
        </w:tc>
        <w:tc>
          <w:tcPr>
            <w:tcW w:w="5764"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r w:rsidRPr="009B5631">
              <w:rPr>
                <w:rFonts w:ascii="仿宋_GB2312" w:eastAsia="仿宋_GB2312" w:hAnsi="等线" w:cs="宋体" w:hint="eastAsia"/>
                <w:color w:val="000000" w:themeColor="text1"/>
                <w:kern w:val="0"/>
                <w:sz w:val="18"/>
                <w:szCs w:val="18"/>
              </w:rPr>
              <w:t>安全生产标准化二级达标企业加2分。</w:t>
            </w: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r w:rsidRPr="009B5631">
              <w:rPr>
                <w:rFonts w:ascii="Times New Roman" w:eastAsia="等线" w:hAnsi="Times New Roman" w:cs="Times New Roman"/>
                <w:color w:val="000000" w:themeColor="text1"/>
                <w:kern w:val="0"/>
                <w:sz w:val="18"/>
                <w:szCs w:val="18"/>
              </w:rPr>
              <w:t xml:space="preserve">　</w:t>
            </w:r>
          </w:p>
        </w:tc>
      </w:tr>
      <w:tr w:rsidR="009B1D00" w:rsidRPr="009B5631" w:rsidTr="0065220E">
        <w:trPr>
          <w:trHeight w:val="570"/>
        </w:trPr>
        <w:tc>
          <w:tcPr>
            <w:tcW w:w="980" w:type="dxa"/>
            <w:vAlign w:val="center"/>
          </w:tcPr>
          <w:p w:rsidR="009B1D00" w:rsidRPr="009B5631" w:rsidRDefault="009B1D00" w:rsidP="0065220E">
            <w:pPr>
              <w:widowControl/>
              <w:jc w:val="center"/>
              <w:rPr>
                <w:rFonts w:ascii="Times New Roman" w:eastAsia="等线" w:hAnsi="Times New Roman" w:cs="Times New Roman"/>
                <w:color w:val="000000" w:themeColor="text1"/>
                <w:kern w:val="0"/>
                <w:sz w:val="18"/>
                <w:szCs w:val="18"/>
              </w:rPr>
            </w:pPr>
            <w:r w:rsidRPr="009B5631">
              <w:rPr>
                <w:rFonts w:ascii="黑体" w:eastAsia="黑体" w:hAnsi="黑体" w:cs="Times New Roman" w:hint="eastAsia"/>
                <w:color w:val="000000" w:themeColor="text1"/>
                <w:kern w:val="0"/>
                <w:sz w:val="18"/>
                <w:szCs w:val="18"/>
              </w:rPr>
              <w:t>合计</w:t>
            </w:r>
          </w:p>
        </w:tc>
        <w:tc>
          <w:tcPr>
            <w:tcW w:w="6123"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p>
        </w:tc>
        <w:tc>
          <w:tcPr>
            <w:tcW w:w="5764" w:type="dxa"/>
            <w:vAlign w:val="center"/>
          </w:tcPr>
          <w:p w:rsidR="009B1D00" w:rsidRPr="009B5631" w:rsidRDefault="009B1D00" w:rsidP="0065220E">
            <w:pPr>
              <w:widowControl/>
              <w:rPr>
                <w:rFonts w:ascii="仿宋_GB2312" w:eastAsia="仿宋_GB2312" w:hAnsi="等线" w:cs="宋体"/>
                <w:color w:val="000000" w:themeColor="text1"/>
                <w:kern w:val="0"/>
                <w:sz w:val="18"/>
                <w:szCs w:val="18"/>
              </w:rPr>
            </w:pPr>
          </w:p>
        </w:tc>
        <w:tc>
          <w:tcPr>
            <w:tcW w:w="851"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c>
          <w:tcPr>
            <w:tcW w:w="992" w:type="dxa"/>
            <w:vAlign w:val="center"/>
          </w:tcPr>
          <w:p w:rsidR="009B1D00" w:rsidRPr="009B5631" w:rsidRDefault="009B1D00" w:rsidP="0065220E">
            <w:pPr>
              <w:widowControl/>
              <w:jc w:val="left"/>
              <w:rPr>
                <w:rFonts w:ascii="Times New Roman" w:eastAsia="等线" w:hAnsi="Times New Roman" w:cs="Times New Roman"/>
                <w:color w:val="000000" w:themeColor="text1"/>
                <w:kern w:val="0"/>
                <w:sz w:val="18"/>
                <w:szCs w:val="18"/>
              </w:rPr>
            </w:pPr>
          </w:p>
        </w:tc>
      </w:tr>
      <w:tr w:rsidR="009B1D00" w:rsidRPr="009B5631" w:rsidTr="0065220E">
        <w:trPr>
          <w:trHeight w:val="570"/>
        </w:trPr>
        <w:tc>
          <w:tcPr>
            <w:tcW w:w="14710" w:type="dxa"/>
            <w:gridSpan w:val="5"/>
            <w:vAlign w:val="center"/>
          </w:tcPr>
          <w:p w:rsidR="009B1D00" w:rsidRPr="009B5631" w:rsidRDefault="009B1D00" w:rsidP="0065220E">
            <w:pPr>
              <w:widowControl/>
              <w:jc w:val="left"/>
              <w:rPr>
                <w:rFonts w:ascii="仿宋" w:eastAsia="仿宋" w:hAnsi="仿宋" w:cs="Times New Roman"/>
                <w:color w:val="000000" w:themeColor="text1"/>
                <w:kern w:val="0"/>
                <w:szCs w:val="21"/>
              </w:rPr>
            </w:pPr>
            <w:r w:rsidRPr="009B5631">
              <w:rPr>
                <w:rFonts w:ascii="仿宋" w:eastAsia="仿宋" w:hAnsi="仿宋" w:cs="Times New Roman" w:hint="eastAsia"/>
                <w:color w:val="000000" w:themeColor="text1"/>
                <w:kern w:val="0"/>
                <w:szCs w:val="21"/>
              </w:rPr>
              <w:t>注：鼓励项分值在</w:t>
            </w:r>
            <w:r w:rsidRPr="009B5631">
              <w:rPr>
                <w:rFonts w:ascii="仿宋" w:eastAsia="仿宋" w:hAnsi="仿宋" w:cs="Times New Roman"/>
                <w:color w:val="000000" w:themeColor="text1"/>
                <w:kern w:val="0"/>
                <w:szCs w:val="21"/>
              </w:rPr>
              <w:t>100</w:t>
            </w:r>
            <w:r w:rsidRPr="009B5631">
              <w:rPr>
                <w:rFonts w:ascii="仿宋" w:eastAsia="仿宋" w:hAnsi="仿宋" w:cs="Times New Roman" w:hint="eastAsia"/>
                <w:color w:val="000000" w:themeColor="text1"/>
                <w:kern w:val="0"/>
                <w:szCs w:val="21"/>
              </w:rPr>
              <w:t>分以外，检查完扣分项之后按照鼓励项内容进行加分。考核内容分值为该项总分值。</w:t>
            </w:r>
          </w:p>
        </w:tc>
      </w:tr>
    </w:tbl>
    <w:p w:rsidR="009B1D00" w:rsidRPr="00AC0AA6" w:rsidRDefault="009B1D00" w:rsidP="009B1D00">
      <w:pPr>
        <w:rPr>
          <w:rFonts w:ascii="Times New Roman" w:eastAsia="宋体" w:hAnsi="Times New Roman" w:cs="Times New Roman"/>
          <w:szCs w:val="20"/>
        </w:rPr>
      </w:pPr>
    </w:p>
    <w:p w:rsidR="000D72CF" w:rsidRPr="009B1D00" w:rsidRDefault="000D72CF"/>
    <w:sectPr w:rsidR="000D72CF" w:rsidRPr="009B1D00" w:rsidSect="009B1D0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2CF" w:rsidRDefault="000D72CF" w:rsidP="009B1D00">
      <w:r>
        <w:separator/>
      </w:r>
    </w:p>
  </w:endnote>
  <w:endnote w:type="continuationSeparator" w:id="1">
    <w:p w:rsidR="000D72CF" w:rsidRDefault="000D72CF" w:rsidP="009B1D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宋体"/>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2CF" w:rsidRDefault="000D72CF" w:rsidP="009B1D00">
      <w:r>
        <w:separator/>
      </w:r>
    </w:p>
  </w:footnote>
  <w:footnote w:type="continuationSeparator" w:id="1">
    <w:p w:rsidR="000D72CF" w:rsidRDefault="000D72CF" w:rsidP="009B1D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D00"/>
    <w:rsid w:val="000D72CF"/>
    <w:rsid w:val="009B1D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1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1D00"/>
    <w:rPr>
      <w:sz w:val="18"/>
      <w:szCs w:val="18"/>
    </w:rPr>
  </w:style>
  <w:style w:type="paragraph" w:styleId="a4">
    <w:name w:val="footer"/>
    <w:basedOn w:val="a"/>
    <w:link w:val="Char0"/>
    <w:uiPriority w:val="99"/>
    <w:semiHidden/>
    <w:unhideWhenUsed/>
    <w:rsid w:val="009B1D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1D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460</Words>
  <Characters>2624</Characters>
  <Application>Microsoft Office Word</Application>
  <DocSecurity>0</DocSecurity>
  <Lines>21</Lines>
  <Paragraphs>6</Paragraphs>
  <ScaleCrop>false</ScaleCrop>
  <Company>Microsoft</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2018-04-19T07:02:00Z</dcterms:created>
  <dcterms:modified xsi:type="dcterms:W3CDTF">2018-04-19T07:03:00Z</dcterms:modified>
</cp:coreProperties>
</file>